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A0" w:rsidRPr="0092214E" w:rsidRDefault="00D02BA0" w:rsidP="00D02BA0">
      <w:pPr>
        <w:jc w:val="both"/>
        <w:rPr>
          <w:rFonts w:ascii="Arial" w:hAnsi="Arial" w:cs="Arial"/>
          <w:sz w:val="24"/>
          <w:szCs w:val="24"/>
        </w:rPr>
      </w:pPr>
      <w:r w:rsidRPr="0092214E">
        <w:rPr>
          <w:rFonts w:ascii="Arial" w:hAnsi="Arial" w:cs="Arial"/>
          <w:b/>
          <w:sz w:val="24"/>
          <w:szCs w:val="24"/>
        </w:rPr>
        <w:t>Таблица участника конкурса переводов</w:t>
      </w:r>
      <w:r w:rsidRPr="0092214E">
        <w:rPr>
          <w:rFonts w:ascii="Arial" w:hAnsi="Arial" w:cs="Arial"/>
          <w:sz w:val="24"/>
          <w:szCs w:val="24"/>
        </w:rPr>
        <w:t>:</w:t>
      </w:r>
    </w:p>
    <w:tbl>
      <w:tblPr>
        <w:tblStyle w:val="a3"/>
        <w:tblW w:w="0" w:type="auto"/>
        <w:tblLook w:val="04A0" w:firstRow="1" w:lastRow="0" w:firstColumn="1" w:lastColumn="0" w:noHBand="0" w:noVBand="1"/>
      </w:tblPr>
      <w:tblGrid>
        <w:gridCol w:w="2235"/>
        <w:gridCol w:w="7336"/>
      </w:tblGrid>
      <w:tr w:rsidR="00D02BA0" w:rsidRPr="0092214E" w:rsidTr="006550F5">
        <w:tc>
          <w:tcPr>
            <w:tcW w:w="2235" w:type="dxa"/>
          </w:tcPr>
          <w:p w:rsidR="00D02BA0" w:rsidRPr="0092214E" w:rsidRDefault="00D02BA0" w:rsidP="006550F5">
            <w:pPr>
              <w:spacing w:before="120" w:after="120"/>
              <w:jc w:val="both"/>
              <w:rPr>
                <w:rFonts w:ascii="Arial" w:hAnsi="Arial" w:cs="Arial"/>
                <w:sz w:val="24"/>
                <w:szCs w:val="24"/>
              </w:rPr>
            </w:pPr>
            <w:r w:rsidRPr="0092214E">
              <w:rPr>
                <w:rFonts w:ascii="Arial" w:hAnsi="Arial" w:cs="Arial"/>
                <w:sz w:val="24"/>
                <w:szCs w:val="24"/>
              </w:rPr>
              <w:t>Ф.И.О. участника</w:t>
            </w:r>
          </w:p>
        </w:tc>
        <w:tc>
          <w:tcPr>
            <w:tcW w:w="7336" w:type="dxa"/>
          </w:tcPr>
          <w:p w:rsidR="00D02BA0" w:rsidRPr="0092214E" w:rsidRDefault="00D02BA0" w:rsidP="006550F5">
            <w:pPr>
              <w:jc w:val="both"/>
              <w:rPr>
                <w:rFonts w:ascii="Arial" w:hAnsi="Arial" w:cs="Arial"/>
                <w:sz w:val="24"/>
                <w:szCs w:val="24"/>
              </w:rPr>
            </w:pPr>
          </w:p>
        </w:tc>
      </w:tr>
      <w:tr w:rsidR="00D02BA0" w:rsidRPr="0092214E" w:rsidTr="006550F5">
        <w:tc>
          <w:tcPr>
            <w:tcW w:w="2235" w:type="dxa"/>
          </w:tcPr>
          <w:p w:rsidR="00D02BA0" w:rsidRPr="0092214E" w:rsidRDefault="00433DC9" w:rsidP="006550F5">
            <w:pPr>
              <w:spacing w:before="120" w:after="120"/>
              <w:jc w:val="both"/>
              <w:rPr>
                <w:rFonts w:ascii="Arial" w:hAnsi="Arial" w:cs="Arial"/>
                <w:sz w:val="24"/>
                <w:szCs w:val="24"/>
              </w:rPr>
            </w:pPr>
            <w:r>
              <w:rPr>
                <w:rFonts w:ascii="Arial" w:hAnsi="Arial" w:cs="Arial"/>
                <w:sz w:val="24"/>
                <w:szCs w:val="24"/>
              </w:rPr>
              <w:t>вуз</w:t>
            </w:r>
          </w:p>
        </w:tc>
        <w:tc>
          <w:tcPr>
            <w:tcW w:w="7336" w:type="dxa"/>
          </w:tcPr>
          <w:p w:rsidR="00D02BA0" w:rsidRPr="0092214E" w:rsidRDefault="00D02BA0" w:rsidP="006550F5">
            <w:pPr>
              <w:jc w:val="both"/>
              <w:rPr>
                <w:rFonts w:ascii="Arial" w:hAnsi="Arial" w:cs="Arial"/>
                <w:sz w:val="24"/>
                <w:szCs w:val="24"/>
              </w:rPr>
            </w:pPr>
          </w:p>
        </w:tc>
      </w:tr>
      <w:tr w:rsidR="00D02BA0" w:rsidRPr="0092214E" w:rsidTr="006550F5">
        <w:tc>
          <w:tcPr>
            <w:tcW w:w="2235" w:type="dxa"/>
          </w:tcPr>
          <w:p w:rsidR="00D02BA0" w:rsidRPr="0092214E" w:rsidRDefault="00D02BA0" w:rsidP="006550F5">
            <w:pPr>
              <w:spacing w:before="120" w:after="120"/>
              <w:jc w:val="both"/>
              <w:rPr>
                <w:rFonts w:ascii="Arial" w:hAnsi="Arial" w:cs="Arial"/>
                <w:sz w:val="24"/>
                <w:szCs w:val="24"/>
              </w:rPr>
            </w:pPr>
            <w:r w:rsidRPr="0092214E">
              <w:rPr>
                <w:rFonts w:ascii="Arial" w:hAnsi="Arial" w:cs="Arial"/>
                <w:sz w:val="24"/>
                <w:szCs w:val="24"/>
              </w:rPr>
              <w:t>Курс</w:t>
            </w:r>
          </w:p>
        </w:tc>
        <w:tc>
          <w:tcPr>
            <w:tcW w:w="7336" w:type="dxa"/>
          </w:tcPr>
          <w:p w:rsidR="00D02BA0" w:rsidRPr="0092214E" w:rsidRDefault="00D02BA0" w:rsidP="006550F5">
            <w:pPr>
              <w:jc w:val="both"/>
              <w:rPr>
                <w:rFonts w:ascii="Arial" w:hAnsi="Arial" w:cs="Arial"/>
                <w:sz w:val="24"/>
                <w:szCs w:val="24"/>
              </w:rPr>
            </w:pPr>
          </w:p>
        </w:tc>
      </w:tr>
      <w:tr w:rsidR="00D02BA0" w:rsidRPr="0092214E" w:rsidTr="006550F5">
        <w:tc>
          <w:tcPr>
            <w:tcW w:w="2235" w:type="dxa"/>
          </w:tcPr>
          <w:p w:rsidR="00D02BA0" w:rsidRPr="0092214E" w:rsidRDefault="00D02BA0" w:rsidP="006550F5">
            <w:pPr>
              <w:spacing w:before="120" w:after="120"/>
              <w:rPr>
                <w:rFonts w:ascii="Arial" w:hAnsi="Arial" w:cs="Arial"/>
                <w:sz w:val="24"/>
                <w:szCs w:val="24"/>
              </w:rPr>
            </w:pPr>
            <w:r w:rsidRPr="0092214E">
              <w:rPr>
                <w:rFonts w:ascii="Arial" w:hAnsi="Arial" w:cs="Arial"/>
                <w:sz w:val="24"/>
                <w:szCs w:val="24"/>
              </w:rPr>
              <w:t>Факультет и специальность</w:t>
            </w:r>
          </w:p>
        </w:tc>
        <w:tc>
          <w:tcPr>
            <w:tcW w:w="7336" w:type="dxa"/>
          </w:tcPr>
          <w:p w:rsidR="00D02BA0" w:rsidRPr="0092214E" w:rsidRDefault="00D02BA0" w:rsidP="006550F5">
            <w:pPr>
              <w:jc w:val="both"/>
              <w:rPr>
                <w:rFonts w:ascii="Arial" w:hAnsi="Arial" w:cs="Arial"/>
                <w:sz w:val="24"/>
                <w:szCs w:val="24"/>
              </w:rPr>
            </w:pPr>
          </w:p>
        </w:tc>
      </w:tr>
      <w:tr w:rsidR="00D02BA0" w:rsidRPr="0092214E" w:rsidTr="006550F5">
        <w:tc>
          <w:tcPr>
            <w:tcW w:w="2235" w:type="dxa"/>
          </w:tcPr>
          <w:p w:rsidR="00D02BA0" w:rsidRPr="0092214E" w:rsidRDefault="00D02BA0" w:rsidP="006550F5">
            <w:pPr>
              <w:spacing w:before="120" w:after="120"/>
              <w:jc w:val="both"/>
              <w:rPr>
                <w:rFonts w:ascii="Arial" w:hAnsi="Arial" w:cs="Arial"/>
                <w:sz w:val="24"/>
                <w:szCs w:val="24"/>
              </w:rPr>
            </w:pPr>
            <w:r w:rsidRPr="0092214E">
              <w:rPr>
                <w:rFonts w:ascii="Arial" w:hAnsi="Arial" w:cs="Arial"/>
                <w:sz w:val="24"/>
                <w:szCs w:val="24"/>
              </w:rPr>
              <w:t>Группа</w:t>
            </w:r>
          </w:p>
        </w:tc>
        <w:tc>
          <w:tcPr>
            <w:tcW w:w="7336" w:type="dxa"/>
          </w:tcPr>
          <w:p w:rsidR="00D02BA0" w:rsidRPr="0092214E" w:rsidRDefault="00D02BA0" w:rsidP="006550F5">
            <w:pPr>
              <w:jc w:val="both"/>
              <w:rPr>
                <w:rFonts w:ascii="Arial" w:hAnsi="Arial" w:cs="Arial"/>
                <w:sz w:val="24"/>
                <w:szCs w:val="24"/>
              </w:rPr>
            </w:pPr>
          </w:p>
        </w:tc>
      </w:tr>
      <w:tr w:rsidR="00D02BA0" w:rsidRPr="0092214E" w:rsidTr="006550F5">
        <w:tc>
          <w:tcPr>
            <w:tcW w:w="2235" w:type="dxa"/>
          </w:tcPr>
          <w:p w:rsidR="00D02BA0" w:rsidRPr="0092214E" w:rsidRDefault="00D02BA0" w:rsidP="006550F5">
            <w:pPr>
              <w:spacing w:before="120" w:after="120"/>
              <w:jc w:val="both"/>
              <w:rPr>
                <w:rFonts w:ascii="Arial" w:hAnsi="Arial" w:cs="Arial"/>
                <w:sz w:val="24"/>
                <w:szCs w:val="24"/>
              </w:rPr>
            </w:pPr>
            <w:r w:rsidRPr="0092214E">
              <w:rPr>
                <w:rFonts w:ascii="Arial" w:hAnsi="Arial" w:cs="Arial"/>
                <w:sz w:val="24"/>
                <w:szCs w:val="24"/>
              </w:rPr>
              <w:t xml:space="preserve">Контактный телефон </w:t>
            </w:r>
          </w:p>
        </w:tc>
        <w:tc>
          <w:tcPr>
            <w:tcW w:w="7336" w:type="dxa"/>
          </w:tcPr>
          <w:p w:rsidR="00D02BA0" w:rsidRPr="0092214E" w:rsidRDefault="00D02BA0" w:rsidP="006550F5">
            <w:pPr>
              <w:jc w:val="both"/>
              <w:rPr>
                <w:rFonts w:ascii="Arial" w:hAnsi="Arial" w:cs="Arial"/>
                <w:sz w:val="24"/>
                <w:szCs w:val="24"/>
              </w:rPr>
            </w:pPr>
          </w:p>
        </w:tc>
      </w:tr>
      <w:tr w:rsidR="00D02BA0" w:rsidRPr="0092214E" w:rsidTr="006550F5">
        <w:tc>
          <w:tcPr>
            <w:tcW w:w="2235" w:type="dxa"/>
          </w:tcPr>
          <w:p w:rsidR="00D02BA0" w:rsidRPr="0092214E" w:rsidRDefault="00D02BA0" w:rsidP="006550F5">
            <w:pPr>
              <w:spacing w:before="120" w:after="120"/>
              <w:jc w:val="both"/>
              <w:rPr>
                <w:rFonts w:ascii="Arial" w:hAnsi="Arial" w:cs="Arial"/>
                <w:sz w:val="24"/>
                <w:szCs w:val="24"/>
                <w:lang w:val="en-US"/>
              </w:rPr>
            </w:pPr>
            <w:r w:rsidRPr="0092214E">
              <w:rPr>
                <w:rFonts w:ascii="Arial" w:hAnsi="Arial" w:cs="Arial"/>
                <w:sz w:val="24"/>
                <w:szCs w:val="24"/>
                <w:lang w:val="en-US"/>
              </w:rPr>
              <w:t>E-mail</w:t>
            </w:r>
          </w:p>
        </w:tc>
        <w:tc>
          <w:tcPr>
            <w:tcW w:w="7336" w:type="dxa"/>
          </w:tcPr>
          <w:p w:rsidR="00D02BA0" w:rsidRPr="0092214E" w:rsidRDefault="00D02BA0" w:rsidP="006550F5">
            <w:pPr>
              <w:jc w:val="both"/>
              <w:rPr>
                <w:rFonts w:ascii="Arial" w:hAnsi="Arial" w:cs="Arial"/>
                <w:sz w:val="24"/>
                <w:szCs w:val="24"/>
              </w:rPr>
            </w:pPr>
          </w:p>
        </w:tc>
      </w:tr>
    </w:tbl>
    <w:p w:rsidR="00D02BA0" w:rsidRPr="0092214E" w:rsidRDefault="00D02BA0" w:rsidP="00D02BA0">
      <w:pPr>
        <w:jc w:val="both"/>
        <w:rPr>
          <w:rFonts w:ascii="Arial" w:hAnsi="Arial" w:cs="Arial"/>
          <w:sz w:val="24"/>
          <w:szCs w:val="24"/>
        </w:rPr>
      </w:pPr>
      <w:r w:rsidRPr="0092214E">
        <w:rPr>
          <w:rFonts w:ascii="Arial" w:hAnsi="Arial" w:cs="Arial"/>
          <w:sz w:val="24"/>
          <w:szCs w:val="24"/>
        </w:rPr>
        <w:t>Текст</w:t>
      </w:r>
      <w:r>
        <w:rPr>
          <w:rFonts w:ascii="Arial" w:hAnsi="Arial" w:cs="Arial"/>
          <w:sz w:val="24"/>
          <w:szCs w:val="24"/>
        </w:rPr>
        <w:t>ы</w:t>
      </w:r>
      <w:r w:rsidRPr="0092214E">
        <w:rPr>
          <w:rFonts w:ascii="Arial" w:hAnsi="Arial" w:cs="Arial"/>
          <w:sz w:val="24"/>
          <w:szCs w:val="24"/>
        </w:rPr>
        <w:t xml:space="preserve"> для перевода: </w:t>
      </w:r>
    </w:p>
    <w:p w:rsidR="00D02BA0" w:rsidRPr="0092214E" w:rsidRDefault="00D02BA0" w:rsidP="00D02BA0">
      <w:pPr>
        <w:autoSpaceDE w:val="0"/>
        <w:autoSpaceDN w:val="0"/>
        <w:adjustRightInd w:val="0"/>
        <w:spacing w:after="0" w:line="240" w:lineRule="auto"/>
        <w:jc w:val="both"/>
        <w:rPr>
          <w:rFonts w:ascii="Arial" w:hAnsi="Arial" w:cs="Arial"/>
          <w:b/>
          <w:sz w:val="24"/>
          <w:szCs w:val="24"/>
          <w:lang w:val="en-US"/>
        </w:rPr>
      </w:pPr>
      <w:r w:rsidRPr="0092214E">
        <w:rPr>
          <w:rFonts w:ascii="Arial" w:hAnsi="Arial" w:cs="Arial"/>
          <w:b/>
          <w:sz w:val="24"/>
          <w:szCs w:val="24"/>
          <w:lang w:val="en-US"/>
        </w:rPr>
        <w:t>Translate from English into Russian</w:t>
      </w:r>
    </w:p>
    <w:p w:rsidR="00D02BA0" w:rsidRPr="0092214E" w:rsidRDefault="00D02BA0" w:rsidP="00D02BA0">
      <w:pPr>
        <w:autoSpaceDE w:val="0"/>
        <w:autoSpaceDN w:val="0"/>
        <w:adjustRightInd w:val="0"/>
        <w:spacing w:after="0" w:line="240" w:lineRule="auto"/>
        <w:jc w:val="both"/>
        <w:rPr>
          <w:rFonts w:ascii="Arial" w:hAnsi="Arial" w:cs="Arial"/>
          <w:sz w:val="24"/>
          <w:szCs w:val="24"/>
          <w:lang w:val="en-US"/>
        </w:rPr>
      </w:pPr>
    </w:p>
    <w:p w:rsidR="00D02BA0" w:rsidRPr="0092214E" w:rsidRDefault="00D02BA0" w:rsidP="00D02BA0">
      <w:pPr>
        <w:autoSpaceDE w:val="0"/>
        <w:autoSpaceDN w:val="0"/>
        <w:adjustRightInd w:val="0"/>
        <w:spacing w:after="0" w:line="240" w:lineRule="auto"/>
        <w:jc w:val="both"/>
        <w:rPr>
          <w:rFonts w:ascii="Arial" w:hAnsi="Arial" w:cs="Arial"/>
          <w:sz w:val="24"/>
          <w:szCs w:val="24"/>
          <w:lang w:val="en-US"/>
        </w:rPr>
      </w:pPr>
      <w:r w:rsidRPr="0092214E">
        <w:rPr>
          <w:rFonts w:ascii="Arial" w:hAnsi="Arial" w:cs="Arial"/>
          <w:sz w:val="24"/>
          <w:szCs w:val="24"/>
          <w:lang w:val="en-US"/>
        </w:rPr>
        <w:t>Title – Risk of Loss</w:t>
      </w:r>
    </w:p>
    <w:p w:rsidR="00D02BA0" w:rsidRPr="0092214E" w:rsidRDefault="00D02BA0" w:rsidP="00D02BA0">
      <w:pPr>
        <w:autoSpaceDE w:val="0"/>
        <w:autoSpaceDN w:val="0"/>
        <w:adjustRightInd w:val="0"/>
        <w:spacing w:after="0" w:line="240" w:lineRule="auto"/>
        <w:jc w:val="both"/>
        <w:rPr>
          <w:rFonts w:ascii="Arial" w:hAnsi="Arial" w:cs="Arial"/>
          <w:sz w:val="24"/>
          <w:szCs w:val="24"/>
          <w:lang w:val="en-US"/>
        </w:rPr>
      </w:pPr>
      <w:r w:rsidRPr="0092214E">
        <w:rPr>
          <w:rFonts w:ascii="Arial" w:hAnsi="Arial" w:cs="Arial"/>
          <w:sz w:val="24"/>
          <w:szCs w:val="24"/>
          <w:lang w:val="en-US"/>
        </w:rPr>
        <w:t xml:space="preserve">Title to the goods sold hereunder shall remain with Company </w:t>
      </w:r>
      <w:r w:rsidRPr="0092214E">
        <w:rPr>
          <w:rFonts w:ascii="Arial" w:hAnsi="Arial" w:cs="Arial"/>
          <w:sz w:val="24"/>
          <w:szCs w:val="24"/>
        </w:rPr>
        <w:t>ХХХ</w:t>
      </w:r>
      <w:r w:rsidRPr="0092214E">
        <w:rPr>
          <w:rFonts w:ascii="Arial" w:hAnsi="Arial" w:cs="Arial"/>
          <w:sz w:val="24"/>
          <w:szCs w:val="24"/>
          <w:lang w:val="en-US"/>
        </w:rPr>
        <w:t xml:space="preserve"> until all payments hereunder (including deferred payments) whether evidenced by notes or otherwise shall have been made in full in cash and, upon request, Purchaser shall execute financing statements and other documents necessary to perfect and maintain such title in Company </w:t>
      </w:r>
      <w:r w:rsidRPr="0092214E">
        <w:rPr>
          <w:rFonts w:ascii="Arial" w:hAnsi="Arial" w:cs="Arial"/>
          <w:sz w:val="24"/>
          <w:szCs w:val="24"/>
        </w:rPr>
        <w:t>ХХХ</w:t>
      </w:r>
      <w:r w:rsidRPr="0092214E">
        <w:rPr>
          <w:rFonts w:ascii="Arial" w:hAnsi="Arial" w:cs="Arial"/>
          <w:sz w:val="24"/>
          <w:szCs w:val="24"/>
          <w:lang w:val="en-US"/>
        </w:rPr>
        <w:t>.</w:t>
      </w:r>
    </w:p>
    <w:p w:rsidR="00D02BA0" w:rsidRPr="0092214E" w:rsidRDefault="00D02BA0" w:rsidP="00D02BA0">
      <w:pPr>
        <w:autoSpaceDE w:val="0"/>
        <w:autoSpaceDN w:val="0"/>
        <w:adjustRightInd w:val="0"/>
        <w:spacing w:after="0" w:line="240" w:lineRule="auto"/>
        <w:jc w:val="both"/>
        <w:rPr>
          <w:rFonts w:ascii="Arial" w:hAnsi="Arial" w:cs="Arial"/>
          <w:sz w:val="24"/>
          <w:szCs w:val="24"/>
          <w:lang w:val="en-US"/>
        </w:rPr>
      </w:pPr>
    </w:p>
    <w:p w:rsidR="00D02BA0" w:rsidRPr="0092214E" w:rsidRDefault="00D02BA0" w:rsidP="00D02BA0">
      <w:pPr>
        <w:autoSpaceDE w:val="0"/>
        <w:autoSpaceDN w:val="0"/>
        <w:adjustRightInd w:val="0"/>
        <w:spacing w:after="0" w:line="240" w:lineRule="auto"/>
        <w:jc w:val="both"/>
        <w:rPr>
          <w:rFonts w:ascii="Arial" w:hAnsi="Arial" w:cs="Arial"/>
          <w:sz w:val="24"/>
          <w:szCs w:val="24"/>
          <w:lang w:val="en-US"/>
        </w:rPr>
      </w:pPr>
      <w:r w:rsidRPr="0092214E">
        <w:rPr>
          <w:rFonts w:ascii="Arial" w:hAnsi="Arial" w:cs="Arial"/>
          <w:sz w:val="24"/>
          <w:szCs w:val="24"/>
          <w:lang w:val="en-US"/>
        </w:rPr>
        <w:t>Severability</w:t>
      </w:r>
    </w:p>
    <w:p w:rsidR="00D02BA0" w:rsidRPr="0092214E" w:rsidRDefault="00D02BA0" w:rsidP="00D02BA0">
      <w:pPr>
        <w:autoSpaceDE w:val="0"/>
        <w:autoSpaceDN w:val="0"/>
        <w:adjustRightInd w:val="0"/>
        <w:spacing w:after="0" w:line="240" w:lineRule="auto"/>
        <w:jc w:val="both"/>
        <w:rPr>
          <w:rFonts w:ascii="Arial" w:hAnsi="Arial" w:cs="Arial"/>
          <w:sz w:val="24"/>
          <w:szCs w:val="24"/>
          <w:lang w:val="en-US"/>
        </w:rPr>
      </w:pPr>
      <w:r w:rsidRPr="0092214E">
        <w:rPr>
          <w:rFonts w:ascii="Arial" w:hAnsi="Arial" w:cs="Arial"/>
          <w:sz w:val="24"/>
          <w:szCs w:val="24"/>
          <w:lang w:val="en-US"/>
        </w:rPr>
        <w:t>If in any jurisdiction, any provision of the Contract or its application to any party or circumstance is restricted, prohibited or unenforceable, such provision shall, as to such jurisdiction, be ineffective only to the extent of such restriction, prohibition or unenforceability without invalidating the remaining provisions hereof and without affecting the validity or enforceability of such provision in any other jurisdiction or its application to other parties or circumstances. In addition, if any one or more of the provisions contained in this Purchase Order shall for any reason in any jurisdiction be held to be excessively broad as to time, duration, geographical scope, activity or subject, it shall be construed, by limiting and reducing it, so as to be enforceable to the extent compatible with the applicable law of such jurisdiction as it shall then appear.</w:t>
      </w:r>
    </w:p>
    <w:p w:rsidR="00D02BA0" w:rsidRPr="0092214E" w:rsidRDefault="00D02BA0" w:rsidP="00D02BA0">
      <w:pPr>
        <w:autoSpaceDE w:val="0"/>
        <w:autoSpaceDN w:val="0"/>
        <w:adjustRightInd w:val="0"/>
        <w:spacing w:after="0" w:line="240" w:lineRule="auto"/>
        <w:jc w:val="both"/>
        <w:rPr>
          <w:rFonts w:ascii="Arial" w:hAnsi="Arial" w:cs="Arial"/>
          <w:sz w:val="24"/>
          <w:szCs w:val="24"/>
          <w:lang w:val="en-US"/>
        </w:rPr>
      </w:pPr>
    </w:p>
    <w:p w:rsidR="00D02BA0" w:rsidRPr="0092214E" w:rsidRDefault="00D02BA0" w:rsidP="00D02BA0">
      <w:pPr>
        <w:autoSpaceDE w:val="0"/>
        <w:autoSpaceDN w:val="0"/>
        <w:adjustRightInd w:val="0"/>
        <w:spacing w:after="0" w:line="240" w:lineRule="auto"/>
        <w:jc w:val="both"/>
        <w:rPr>
          <w:rFonts w:ascii="Arial" w:hAnsi="Arial" w:cs="Arial"/>
          <w:b/>
          <w:sz w:val="24"/>
          <w:szCs w:val="24"/>
        </w:rPr>
      </w:pPr>
      <w:r w:rsidRPr="0092214E">
        <w:rPr>
          <w:rFonts w:ascii="Arial" w:hAnsi="Arial" w:cs="Arial"/>
          <w:b/>
          <w:sz w:val="24"/>
          <w:szCs w:val="24"/>
          <w:lang w:val="en-US"/>
        </w:rPr>
        <w:t>Translate</w:t>
      </w:r>
      <w:r w:rsidRPr="0092214E">
        <w:rPr>
          <w:rFonts w:ascii="Arial" w:hAnsi="Arial" w:cs="Arial"/>
          <w:b/>
          <w:sz w:val="24"/>
          <w:szCs w:val="24"/>
        </w:rPr>
        <w:t xml:space="preserve"> </w:t>
      </w:r>
      <w:r w:rsidRPr="0092214E">
        <w:rPr>
          <w:rFonts w:ascii="Arial" w:hAnsi="Arial" w:cs="Arial"/>
          <w:b/>
          <w:sz w:val="24"/>
          <w:szCs w:val="24"/>
          <w:lang w:val="en-US"/>
        </w:rPr>
        <w:t>from</w:t>
      </w:r>
      <w:r w:rsidRPr="0092214E">
        <w:rPr>
          <w:rFonts w:ascii="Arial" w:hAnsi="Arial" w:cs="Arial"/>
          <w:b/>
          <w:sz w:val="24"/>
          <w:szCs w:val="24"/>
        </w:rPr>
        <w:t xml:space="preserve"> </w:t>
      </w:r>
      <w:r w:rsidRPr="0092214E">
        <w:rPr>
          <w:rFonts w:ascii="Arial" w:hAnsi="Arial" w:cs="Arial"/>
          <w:b/>
          <w:sz w:val="24"/>
          <w:szCs w:val="24"/>
          <w:lang w:val="en-US"/>
        </w:rPr>
        <w:t>Russian</w:t>
      </w:r>
      <w:r w:rsidRPr="0092214E">
        <w:rPr>
          <w:rFonts w:ascii="Arial" w:hAnsi="Arial" w:cs="Arial"/>
          <w:b/>
          <w:sz w:val="24"/>
          <w:szCs w:val="24"/>
        </w:rPr>
        <w:t xml:space="preserve"> </w:t>
      </w:r>
      <w:r w:rsidRPr="0092214E">
        <w:rPr>
          <w:rFonts w:ascii="Arial" w:hAnsi="Arial" w:cs="Arial"/>
          <w:b/>
          <w:sz w:val="24"/>
          <w:szCs w:val="24"/>
          <w:lang w:val="en-US"/>
        </w:rPr>
        <w:t>into</w:t>
      </w:r>
      <w:r w:rsidRPr="0092214E">
        <w:rPr>
          <w:rFonts w:ascii="Arial" w:hAnsi="Arial" w:cs="Arial"/>
          <w:b/>
          <w:sz w:val="24"/>
          <w:szCs w:val="24"/>
        </w:rPr>
        <w:t xml:space="preserve"> </w:t>
      </w:r>
      <w:r w:rsidRPr="0092214E">
        <w:rPr>
          <w:rFonts w:ascii="Arial" w:hAnsi="Arial" w:cs="Arial"/>
          <w:b/>
          <w:sz w:val="24"/>
          <w:szCs w:val="24"/>
          <w:lang w:val="en-US"/>
        </w:rPr>
        <w:t>English</w:t>
      </w:r>
      <w:r w:rsidRPr="0092214E">
        <w:rPr>
          <w:rFonts w:ascii="Arial" w:hAnsi="Arial" w:cs="Arial"/>
          <w:b/>
          <w:sz w:val="24"/>
          <w:szCs w:val="24"/>
        </w:rPr>
        <w:t xml:space="preserve"> </w:t>
      </w:r>
    </w:p>
    <w:p w:rsidR="00D02BA0" w:rsidRPr="0092214E" w:rsidRDefault="00D02BA0" w:rsidP="00D02BA0">
      <w:pPr>
        <w:autoSpaceDE w:val="0"/>
        <w:autoSpaceDN w:val="0"/>
        <w:adjustRightInd w:val="0"/>
        <w:spacing w:after="0" w:line="240" w:lineRule="auto"/>
        <w:jc w:val="both"/>
        <w:rPr>
          <w:rFonts w:ascii="Arial" w:hAnsi="Arial" w:cs="Arial"/>
          <w:b/>
          <w:sz w:val="24"/>
          <w:szCs w:val="24"/>
        </w:rPr>
      </w:pPr>
    </w:p>
    <w:p w:rsidR="00D02BA0" w:rsidRPr="0092214E" w:rsidRDefault="00D02BA0" w:rsidP="00D02BA0">
      <w:pPr>
        <w:spacing w:line="240" w:lineRule="auto"/>
        <w:jc w:val="both"/>
        <w:rPr>
          <w:rFonts w:ascii="Arial" w:hAnsi="Arial" w:cs="Arial"/>
          <w:sz w:val="24"/>
          <w:szCs w:val="24"/>
        </w:rPr>
      </w:pPr>
      <w:r w:rsidRPr="0092214E">
        <w:rPr>
          <w:rFonts w:ascii="Arial" w:hAnsi="Arial" w:cs="Arial"/>
          <w:sz w:val="24"/>
          <w:szCs w:val="24"/>
        </w:rPr>
        <w:t xml:space="preserve">Вот уже 60 лет ОАО «ОМСКНЕФТЕХИМПРОЕКТ» является лидером на российском рынке в сфере проектирования новых и модернизации существующих объектов нефтехимической и нефтеперерабатывающей отрасли. Не так давно ОАО «ОМСКНЕФТЕХИМПРОЕКТ» вышел на международную арену и стал расширять свой арсенал компетенций для выполнения инжиниринговых работ на условиях </w:t>
      </w:r>
      <w:r w:rsidRPr="0092214E">
        <w:rPr>
          <w:rFonts w:ascii="Arial" w:hAnsi="Arial" w:cs="Arial"/>
          <w:sz w:val="24"/>
          <w:szCs w:val="24"/>
          <w:lang w:val="en-US"/>
        </w:rPr>
        <w:t>EPC</w:t>
      </w:r>
      <w:r w:rsidRPr="0092214E">
        <w:rPr>
          <w:rFonts w:ascii="Arial" w:hAnsi="Arial" w:cs="Arial"/>
          <w:sz w:val="24"/>
          <w:szCs w:val="24"/>
        </w:rPr>
        <w:t xml:space="preserve">. </w:t>
      </w:r>
    </w:p>
    <w:p w:rsidR="00D02BA0" w:rsidRPr="0092214E" w:rsidRDefault="00D02BA0" w:rsidP="00D02BA0">
      <w:pPr>
        <w:spacing w:line="240" w:lineRule="auto"/>
        <w:jc w:val="both"/>
        <w:rPr>
          <w:rFonts w:ascii="Arial" w:hAnsi="Arial" w:cs="Arial"/>
          <w:sz w:val="24"/>
          <w:szCs w:val="24"/>
        </w:rPr>
      </w:pPr>
      <w:r w:rsidRPr="0092214E">
        <w:rPr>
          <w:rFonts w:ascii="Arial" w:hAnsi="Arial" w:cs="Arial"/>
          <w:sz w:val="24"/>
          <w:szCs w:val="24"/>
        </w:rPr>
        <w:t>Что же определяет лидирующие позиции данного проектного института и выделяет его из числа других?</w:t>
      </w:r>
    </w:p>
    <w:p w:rsidR="00D02BA0" w:rsidRDefault="00D02BA0" w:rsidP="00752F32">
      <w:pPr>
        <w:pBdr>
          <w:bottom w:val="single" w:sz="12" w:space="1" w:color="auto"/>
        </w:pBdr>
        <w:autoSpaceDE w:val="0"/>
        <w:autoSpaceDN w:val="0"/>
        <w:adjustRightInd w:val="0"/>
        <w:spacing w:after="0" w:line="240" w:lineRule="auto"/>
        <w:jc w:val="both"/>
        <w:rPr>
          <w:rFonts w:ascii="Arial" w:hAnsi="Arial" w:cs="Arial"/>
          <w:sz w:val="24"/>
          <w:szCs w:val="24"/>
        </w:rPr>
      </w:pPr>
      <w:r w:rsidRPr="0092214E">
        <w:rPr>
          <w:rFonts w:ascii="Arial" w:hAnsi="Arial" w:cs="Arial"/>
          <w:sz w:val="24"/>
          <w:szCs w:val="24"/>
        </w:rPr>
        <w:t xml:space="preserve">Богатый опыт работы с передовыми американскими и европейскими компаниями, а также компаниями азиатско-тихоокеанского региона позволил выявить ряд особенностей в ведении проектирования на двух языках и разработать отлаженную схему для решения и предотвращения повторного </w:t>
      </w:r>
      <w:proofErr w:type="gramStart"/>
      <w:r w:rsidRPr="0092214E">
        <w:rPr>
          <w:rFonts w:ascii="Arial" w:hAnsi="Arial" w:cs="Arial"/>
          <w:sz w:val="24"/>
          <w:szCs w:val="24"/>
        </w:rPr>
        <w:t>появления</w:t>
      </w:r>
      <w:proofErr w:type="gramEnd"/>
      <w:r w:rsidRPr="0092214E">
        <w:rPr>
          <w:rFonts w:ascii="Arial" w:hAnsi="Arial" w:cs="Arial"/>
          <w:sz w:val="24"/>
          <w:szCs w:val="24"/>
        </w:rPr>
        <w:t xml:space="preserve"> возникающих проблем, поскольку любая проблема  это лишь скрытая возможность.</w:t>
      </w:r>
    </w:p>
    <w:p w:rsidR="003C3E48" w:rsidRDefault="003C3E48" w:rsidP="00752F32">
      <w:pPr>
        <w:pBdr>
          <w:bottom w:val="single" w:sz="12" w:space="1" w:color="auto"/>
        </w:pBdr>
        <w:autoSpaceDE w:val="0"/>
        <w:autoSpaceDN w:val="0"/>
        <w:adjustRightInd w:val="0"/>
        <w:spacing w:after="0" w:line="240" w:lineRule="auto"/>
        <w:jc w:val="both"/>
        <w:rPr>
          <w:rFonts w:ascii="Arial" w:hAnsi="Arial" w:cs="Arial"/>
          <w:sz w:val="24"/>
          <w:szCs w:val="24"/>
        </w:rPr>
      </w:pPr>
    </w:p>
    <w:p w:rsidR="003C3E48" w:rsidRDefault="003C3E48" w:rsidP="00752F32">
      <w:pPr>
        <w:pBdr>
          <w:bottom w:val="single" w:sz="12" w:space="1" w:color="auto"/>
        </w:pBdr>
        <w:autoSpaceDE w:val="0"/>
        <w:autoSpaceDN w:val="0"/>
        <w:adjustRightInd w:val="0"/>
        <w:spacing w:after="0" w:line="240" w:lineRule="auto"/>
        <w:jc w:val="both"/>
        <w:rPr>
          <w:rFonts w:ascii="Arial" w:hAnsi="Arial" w:cs="Arial"/>
          <w:sz w:val="24"/>
          <w:szCs w:val="24"/>
        </w:rPr>
      </w:pPr>
    </w:p>
    <w:p w:rsidR="003C3E48" w:rsidRDefault="003C3E48" w:rsidP="00752F32">
      <w:pPr>
        <w:pBdr>
          <w:bottom w:val="single" w:sz="12" w:space="1" w:color="auto"/>
        </w:pBdr>
        <w:autoSpaceDE w:val="0"/>
        <w:autoSpaceDN w:val="0"/>
        <w:adjustRightInd w:val="0"/>
        <w:spacing w:after="0" w:line="240" w:lineRule="auto"/>
        <w:jc w:val="both"/>
        <w:rPr>
          <w:rFonts w:ascii="Arial" w:hAnsi="Arial" w:cs="Arial"/>
          <w:sz w:val="24"/>
          <w:szCs w:val="24"/>
        </w:rPr>
      </w:pPr>
    </w:p>
    <w:p w:rsidR="003C3E48" w:rsidRDefault="003C3E48" w:rsidP="00752F32">
      <w:pPr>
        <w:pBdr>
          <w:bottom w:val="single" w:sz="12" w:space="1" w:color="auto"/>
        </w:pBdr>
        <w:autoSpaceDE w:val="0"/>
        <w:autoSpaceDN w:val="0"/>
        <w:adjustRightInd w:val="0"/>
        <w:spacing w:after="0" w:line="240" w:lineRule="auto"/>
        <w:jc w:val="both"/>
        <w:rPr>
          <w:rFonts w:ascii="Arial" w:hAnsi="Arial" w:cs="Arial"/>
          <w:sz w:val="24"/>
          <w:szCs w:val="24"/>
        </w:rPr>
      </w:pPr>
      <w:bookmarkStart w:id="0" w:name="_GoBack"/>
      <w:bookmarkEnd w:id="0"/>
    </w:p>
    <w:sectPr w:rsidR="003C3E48" w:rsidSect="003C3E48">
      <w:pgSz w:w="11906" w:h="16838"/>
      <w:pgMar w:top="709"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A0"/>
    <w:rsid w:val="002954DF"/>
    <w:rsid w:val="003C3E48"/>
    <w:rsid w:val="00433DC9"/>
    <w:rsid w:val="00494164"/>
    <w:rsid w:val="006B74AB"/>
    <w:rsid w:val="00752F32"/>
    <w:rsid w:val="00D02BA0"/>
    <w:rsid w:val="00D7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Горянская А.В.</dc:creator>
  <cp:lastModifiedBy>Горянская А.В.</cp:lastModifiedBy>
  <cp:revision>5</cp:revision>
  <cp:lastPrinted>2014-09-30T10:46:00Z</cp:lastPrinted>
  <dcterms:created xsi:type="dcterms:W3CDTF">2014-09-30T10:02:00Z</dcterms:created>
  <dcterms:modified xsi:type="dcterms:W3CDTF">2014-09-30T12:46:00Z</dcterms:modified>
</cp:coreProperties>
</file>